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932" w:rsidRDefault="005B714B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Образование турбулентного следа за препятствием</w:t>
      </w:r>
    </w:p>
    <w:p w:rsidR="00F41932" w:rsidRDefault="00F41932">
      <w:pPr>
        <w:jc w:val="center"/>
        <w:rPr>
          <w:rFonts w:ascii="Times New Roman" w:hAnsi="Times New Roman"/>
          <w:sz w:val="20"/>
          <w:szCs w:val="20"/>
        </w:rPr>
      </w:pPr>
    </w:p>
    <w:p w:rsidR="00F41932" w:rsidRDefault="005B714B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Кулешов В.С.</w:t>
      </w:r>
    </w:p>
    <w:p w:rsidR="00F41932" w:rsidRDefault="00F41932">
      <w:pPr>
        <w:jc w:val="center"/>
        <w:rPr>
          <w:rFonts w:ascii="Times New Roman" w:hAnsi="Times New Roman"/>
          <w:sz w:val="20"/>
          <w:szCs w:val="20"/>
        </w:rPr>
      </w:pPr>
    </w:p>
    <w:p w:rsidR="00F41932" w:rsidRDefault="005B714B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Институт механики им. Р.Р. </w:t>
      </w:r>
      <w:proofErr w:type="spellStart"/>
      <w:r>
        <w:rPr>
          <w:rFonts w:ascii="Times New Roman" w:hAnsi="Times New Roman"/>
          <w:sz w:val="20"/>
          <w:szCs w:val="20"/>
        </w:rPr>
        <w:t>Мавлютова</w:t>
      </w:r>
      <w:proofErr w:type="spellEnd"/>
      <w:r>
        <w:rPr>
          <w:rFonts w:ascii="Times New Roman" w:hAnsi="Times New Roman"/>
          <w:sz w:val="20"/>
          <w:szCs w:val="20"/>
        </w:rPr>
        <w:t xml:space="preserve"> УФИЦ РАН, Уфа</w:t>
      </w:r>
    </w:p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</w:p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 динамике жидкости и газа принято выделять два основных режима течения среды: ламинарный и турбулентный. При ламинарном режиме течения </w:t>
      </w:r>
      <w:r>
        <w:rPr>
          <w:rFonts w:ascii="Times New Roman" w:hAnsi="Times New Roman"/>
          <w:sz w:val="20"/>
          <w:szCs w:val="20"/>
        </w:rPr>
        <w:t>отдельные слои жидкости перемещаются параллельно друг другу, практически не смешиваясь. При турбулентном режиме возникают вихри, которые приводят к хаотическим перемещениям каждого отдельного объема жидкости. Установление режима течения жидкости — первонач</w:t>
      </w:r>
      <w:r>
        <w:rPr>
          <w:rFonts w:ascii="Times New Roman" w:hAnsi="Times New Roman"/>
          <w:sz w:val="20"/>
          <w:szCs w:val="20"/>
        </w:rPr>
        <w:t>альная задача при любых гидродинамических расчетах.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Основным критерием для выделения режима течения является безразмерный параметр, называемый числом </w:t>
      </w:r>
      <w:proofErr w:type="spellStart"/>
      <w:r>
        <w:rPr>
          <w:rFonts w:ascii="Times New Roman" w:hAnsi="Times New Roman"/>
          <w:sz w:val="20"/>
          <w:szCs w:val="20"/>
        </w:rPr>
        <w:t>Рейнольдса</w:t>
      </w:r>
      <w:proofErr w:type="spellEnd"/>
      <w:r>
        <w:rPr>
          <w:rFonts w:ascii="Times New Roman" w:hAnsi="Times New Roman"/>
          <w:sz w:val="20"/>
          <w:szCs w:val="20"/>
        </w:rPr>
        <w:t xml:space="preserve"> [1]. 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 достаточно малых числах </w:t>
      </w:r>
      <w:proofErr w:type="spellStart"/>
      <w:r>
        <w:rPr>
          <w:rFonts w:ascii="Times New Roman" w:hAnsi="Times New Roman"/>
          <w:sz w:val="20"/>
          <w:szCs w:val="20"/>
        </w:rPr>
        <w:t>Рейнольдса</w:t>
      </w:r>
      <w:proofErr w:type="spellEnd"/>
      <w:r>
        <w:rPr>
          <w:rFonts w:ascii="Times New Roman" w:hAnsi="Times New Roman"/>
          <w:sz w:val="20"/>
          <w:szCs w:val="20"/>
        </w:rPr>
        <w:t xml:space="preserve"> обтекание устойчиво, процесс быстро достигает ус</w:t>
      </w:r>
      <w:r>
        <w:rPr>
          <w:rFonts w:ascii="Times New Roman" w:hAnsi="Times New Roman"/>
          <w:sz w:val="20"/>
          <w:szCs w:val="20"/>
        </w:rPr>
        <w:t xml:space="preserve">тановления (стационарный процесс), т.е. наблюдается ламинарный режим. Однако, при увеличении </w:t>
      </w:r>
      <m:oMath>
        <w:proofErr w:type="spellStart"/>
        <m:r>
          <m:rPr>
            <m:lit/>
            <m:nor/>
          </m:rPr>
          <w:rPr>
            <w:rFonts w:ascii="Cambria Math" w:hAnsi="Cambria Math"/>
          </w:rPr>
          <m:t>Re</m:t>
        </m:r>
      </m:oMath>
      <w:proofErr w:type="spellEnd"/>
      <w:r>
        <w:rPr>
          <w:rFonts w:ascii="Times New Roman" w:hAnsi="Times New Roman"/>
          <w:sz w:val="20"/>
          <w:szCs w:val="20"/>
        </w:rPr>
        <w:t>, как следует из экспериментальных данных, при достижении им значения, называемого критическим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w:proofErr w:type="spellStart"/>
            <m:r>
              <m:rPr>
                <m:lit/>
                <m:nor/>
              </m:rPr>
              <w:rPr>
                <w:rFonts w:ascii="Cambria Math" w:hAnsi="Cambria Math"/>
              </w:rPr>
              <m:t>Re</m:t>
            </m:r>
            <w:proofErr w:type="spellEnd"/>
          </m:e>
          <m:sub>
            <w:proofErr w:type="spellStart"/>
            <m:r>
              <m:rPr>
                <m:lit/>
                <m:nor/>
              </m:rPr>
              <w:rPr>
                <w:rFonts w:ascii="Cambria Math" w:hAnsi="Cambria Math"/>
              </w:rPr>
              <m:t>cr</m:t>
            </m:r>
            <w:proofErr w:type="spellEnd"/>
          </m:sub>
        </m:sSub>
      </m:oMath>
      <w:r>
        <w:rPr>
          <w:rFonts w:ascii="Times New Roman" w:hAnsi="Times New Roman"/>
          <w:sz w:val="20"/>
          <w:szCs w:val="20"/>
        </w:rPr>
        <w:t>), поток флюида становится неустойчивым, происходит переход к</w:t>
      </w:r>
      <w:r>
        <w:rPr>
          <w:rFonts w:ascii="Times New Roman" w:hAnsi="Times New Roman"/>
          <w:sz w:val="20"/>
          <w:szCs w:val="20"/>
        </w:rPr>
        <w:t xml:space="preserve"> турбулентному режиму течения. Таким образом, при достаточно больших числах </w:t>
      </w:r>
      <w:proofErr w:type="spellStart"/>
      <w:r>
        <w:rPr>
          <w:rFonts w:ascii="Times New Roman" w:hAnsi="Times New Roman"/>
          <w:sz w:val="20"/>
          <w:szCs w:val="20"/>
        </w:rPr>
        <w:t>Рейнольдса</w:t>
      </w:r>
      <w:proofErr w:type="spellEnd"/>
      <w:r>
        <w:rPr>
          <w:rFonts w:ascii="Times New Roman" w:hAnsi="Times New Roman"/>
          <w:sz w:val="20"/>
          <w:szCs w:val="20"/>
        </w:rPr>
        <w:t xml:space="preserve"> (</w:t>
      </w:r>
      <m:oMath>
        <w:proofErr w:type="spellStart"/>
        <m:r>
          <m:rPr>
            <m:lit/>
            <m:nor/>
          </m:rPr>
          <w:rPr>
            <w:rFonts w:ascii="Cambria Math" w:hAnsi="Cambria Math"/>
          </w:rPr>
          <m:t>Re</m:t>
        </m:r>
        <w:proofErr w:type="spellEnd"/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lit/>
                <m:nor/>
              </m:rPr>
              <w:rPr>
                <w:rFonts w:ascii="Cambria Math" w:hAnsi="Cambria Math"/>
              </w:rPr>
              <m:t>Re</m:t>
            </m:r>
          </m:e>
          <m:sub>
            <w:proofErr w:type="spellStart"/>
            <m:r>
              <m:rPr>
                <m:lit/>
                <m:nor/>
              </m:rPr>
              <w:rPr>
                <w:rFonts w:ascii="Cambria Math" w:hAnsi="Cambria Math"/>
              </w:rPr>
              <m:t>cr</m:t>
            </m:r>
            <w:proofErr w:type="spellEnd"/>
          </m:sub>
        </m:sSub>
      </m:oMath>
      <w:r>
        <w:rPr>
          <w:rFonts w:ascii="Times New Roman" w:hAnsi="Times New Roman"/>
          <w:sz w:val="20"/>
          <w:szCs w:val="20"/>
        </w:rPr>
        <w:t>) невозможно достижение установившегося режима течения.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Хорошим примером реализации переходного режима течения могут служить дорожки Кармана.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данной работе н</w:t>
      </w:r>
      <w:r>
        <w:rPr>
          <w:rFonts w:ascii="Times New Roman" w:hAnsi="Times New Roman"/>
          <w:sz w:val="20"/>
          <w:szCs w:val="20"/>
        </w:rPr>
        <w:t xml:space="preserve">а основе численного моделирования показан процесс образования турбулентного следа при обтекании твердого тела, имеющего форму цилиндра, потоком несжимаемой жидкости при значениях чисел </w:t>
      </w:r>
      <w:proofErr w:type="spellStart"/>
      <w:r>
        <w:rPr>
          <w:rFonts w:ascii="Times New Roman" w:hAnsi="Times New Roman"/>
          <w:sz w:val="20"/>
          <w:szCs w:val="20"/>
        </w:rPr>
        <w:t>Рейнольдса</w:t>
      </w:r>
      <w:proofErr w:type="spellEnd"/>
      <w:r>
        <w:rPr>
          <w:rFonts w:ascii="Times New Roman" w:hAnsi="Times New Roman"/>
          <w:sz w:val="20"/>
          <w:szCs w:val="20"/>
        </w:rPr>
        <w:t xml:space="preserve"> из критической области.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Рассматриваемый процесс описывается</w:t>
      </w:r>
      <w:r>
        <w:rPr>
          <w:rFonts w:ascii="Times New Roman" w:hAnsi="Times New Roman"/>
          <w:sz w:val="20"/>
          <w:szCs w:val="20"/>
        </w:rPr>
        <w:t xml:space="preserve"> системой уравнений Навье–Стокса для вязкой сжимаемой жидкости. Уравнения модели в двумерном случае можно записать в следующем виде:</w:t>
      </w:r>
    </w:p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664"/>
        <w:gridCol w:w="1084"/>
      </w:tblGrid>
      <w:tr w:rsidR="00F41932">
        <w:trPr>
          <w:tblHeader/>
        </w:trPr>
        <w:tc>
          <w:tcPr>
            <w:tcW w:w="8566" w:type="dxa"/>
            <w:vAlign w:val="center"/>
          </w:tcPr>
          <w:p w:rsidR="00F41932" w:rsidRDefault="00F41932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∂ρ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∂t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=0,</m:t>
                </m:r>
              </m:oMath>
            </m:oMathPara>
          </w:p>
          <w:p w:rsidR="00F41932" w:rsidRDefault="00F41932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∂t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ij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  <w:p w:rsidR="00F41932" w:rsidRDefault="00F41932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ρE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∂t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∂p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</w:tc>
        <w:tc>
          <w:tcPr>
            <w:tcW w:w="1072" w:type="dxa"/>
            <w:vAlign w:val="center"/>
          </w:tcPr>
          <w:p w:rsidR="00F41932" w:rsidRDefault="005B714B">
            <w:pPr>
              <w:pStyle w:val="a7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F41932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SEQ Текст \* ARABIC </w:instrText>
            </w:r>
            <w:r w:rsidR="00F41932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372F8F"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  <w:r w:rsidR="00F4193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</w:p>
    <w:p w:rsidR="00F41932" w:rsidRDefault="005B714B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Здесь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— </w:t>
      </w:r>
      <m:oMath>
        <m:r>
          <w:rPr>
            <w:rFonts w:ascii="Cambria Math" w:hAnsi="Cambria Math"/>
          </w:rPr>
          <m:t>i</m:t>
        </m:r>
      </m:oMath>
      <w:r>
        <w:rPr>
          <w:rFonts w:ascii="Times New Roman" w:hAnsi="Times New Roman"/>
          <w:sz w:val="20"/>
          <w:szCs w:val="20"/>
        </w:rPr>
        <w:t xml:space="preserve">-ая составляющая вектора скорости; </w:t>
      </w:r>
      <m:oMath>
        <m:r>
          <w:rPr>
            <w:rFonts w:ascii="Cambria Math" w:hAnsi="Cambria Math"/>
          </w:rPr>
          <m:t>E</m:t>
        </m:r>
      </m:oMath>
      <w:r>
        <w:rPr>
          <w:rFonts w:ascii="Times New Roman" w:hAnsi="Times New Roman"/>
          <w:sz w:val="20"/>
          <w:szCs w:val="20"/>
        </w:rPr>
        <w:t xml:space="preserve"> — удельная полная энергия, </w:t>
      </w:r>
      <m:oMath>
        <m: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J</m:t>
        </m:r>
        <m:r>
          <w:rPr>
            <w:rFonts w:ascii="Cambria Math" w:hAnsi="Cambria Math"/>
          </w:rPr>
          <m:t>-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Times New Roman" w:hAnsi="Times New Roman"/>
          <w:sz w:val="20"/>
          <w:szCs w:val="20"/>
        </w:rPr>
        <w:t xml:space="preserve">; </w:t>
      </w:r>
      <m:oMath>
        <m:r>
          <w:rPr>
            <w:rFonts w:ascii="Cambria Math" w:hAnsi="Cambria Math"/>
          </w:rPr>
          <m:t>J</m:t>
        </m:r>
      </m:oMath>
      <w:r>
        <w:rPr>
          <w:rFonts w:ascii="Times New Roman" w:hAnsi="Times New Roman"/>
          <w:sz w:val="20"/>
          <w:szCs w:val="20"/>
        </w:rPr>
        <w:t xml:space="preserve"> — внутренняя энергия; </w:t>
      </w:r>
      <m:oMath>
        <m:r>
          <w:rPr>
            <w:rFonts w:ascii="Cambria Math" w:hAnsi="Cambria Math"/>
          </w:rPr>
          <m:t>p</m:t>
        </m:r>
      </m:oMath>
      <w:r>
        <w:rPr>
          <w:rFonts w:ascii="Times New Roman" w:hAnsi="Times New Roman"/>
          <w:sz w:val="20"/>
          <w:szCs w:val="20"/>
        </w:rPr>
        <w:t xml:space="preserve"> — давление;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— тензор напряжений, определяемый как</w:t>
      </w:r>
    </w:p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</w:p>
    <w:p w:rsidR="00F41932" w:rsidRDefault="00F41932">
      <w:pPr>
        <w:jc w:val="center"/>
        <w:rPr>
          <w:rFonts w:ascii="Times New Roman" w:hAnsi="Times New Roman"/>
          <w:sz w:val="20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μ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</w:p>
    <w:p w:rsidR="00F41932" w:rsidRDefault="005B714B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где </w:t>
      </w:r>
      <m:oMath>
        <m:r>
          <w:rPr>
            <w:rFonts w:ascii="Cambria Math" w:hAnsi="Cambria Math"/>
          </w:rPr>
          <m:t>μ</m:t>
        </m:r>
      </m:oMath>
      <w:r>
        <w:rPr>
          <w:rFonts w:ascii="Times New Roman" w:hAnsi="Times New Roman"/>
          <w:sz w:val="20"/>
          <w:szCs w:val="20"/>
        </w:rPr>
        <w:t xml:space="preserve"> — динамическая вязкость;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>
        <w:rPr>
          <w:rFonts w:ascii="Times New Roman" w:hAnsi="Times New Roman"/>
          <w:sz w:val="20"/>
          <w:szCs w:val="20"/>
        </w:rPr>
        <w:t xml:space="preserve"> — символ Кронекера.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Замыкание системы уравнений достигается включением в нее выражения, связывающего давление и плотность жидкости. Авторами используется модифицированное дл</w:t>
      </w:r>
      <w:r>
        <w:rPr>
          <w:rFonts w:ascii="Times New Roman" w:hAnsi="Times New Roman"/>
          <w:sz w:val="20"/>
          <w:szCs w:val="20"/>
        </w:rPr>
        <w:t>я несжимаемой жидкости уравнение состояния Ван-дер-Ваальса [2]:</w:t>
      </w:r>
    </w:p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664"/>
        <w:gridCol w:w="1084"/>
      </w:tblGrid>
      <w:tr w:rsidR="00F41932">
        <w:trPr>
          <w:tblHeader/>
        </w:trPr>
        <w:tc>
          <w:tcPr>
            <w:tcW w:w="8566" w:type="dxa"/>
            <w:vAlign w:val="center"/>
          </w:tcPr>
          <w:p w:rsidR="00F41932" w:rsidRDefault="005B714B">
            <w:pPr>
              <w:pStyle w:val="a7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p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ρT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V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</w:tc>
        <w:tc>
          <w:tcPr>
            <w:tcW w:w="1072" w:type="dxa"/>
            <w:vAlign w:val="center"/>
          </w:tcPr>
          <w:p w:rsidR="00F41932" w:rsidRDefault="005B714B">
            <w:pPr>
              <w:pStyle w:val="a7"/>
              <w:jc w:val="right"/>
            </w:pPr>
            <w:r>
              <w:t>(</w:t>
            </w:r>
            <w:r w:rsidR="00F41932"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SEQ Текст \* ARABIC </w:instrText>
            </w:r>
            <w:r w:rsidR="00F41932">
              <w:rPr>
                <w:sz w:val="20"/>
                <w:szCs w:val="20"/>
              </w:rPr>
              <w:fldChar w:fldCharType="separate"/>
            </w:r>
            <w:r w:rsidR="00372F8F">
              <w:rPr>
                <w:noProof/>
                <w:sz w:val="20"/>
                <w:szCs w:val="20"/>
              </w:rPr>
              <w:t>2</w:t>
            </w:r>
            <w:r w:rsidR="00F41932">
              <w:rPr>
                <w:sz w:val="20"/>
                <w:szCs w:val="20"/>
              </w:rPr>
              <w:fldChar w:fldCharType="end"/>
            </w:r>
            <w:r>
              <w:t>)</w:t>
            </w:r>
          </w:p>
        </w:tc>
      </w:tr>
    </w:tbl>
    <w:p w:rsidR="00F41932" w:rsidRDefault="005B714B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где </w:t>
      </w:r>
      <m:oMath>
        <m:r>
          <w:rPr>
            <w:rFonts w:ascii="Cambria Math" w:hAnsi="Cambria Math"/>
          </w:rPr>
          <m:t>R</m:t>
        </m:r>
      </m:oMath>
      <w:r>
        <w:rPr>
          <w:rFonts w:ascii="Times New Roman" w:hAnsi="Times New Roman"/>
          <w:sz w:val="20"/>
          <w:szCs w:val="20"/>
        </w:rPr>
        <w:t xml:space="preserve"> — универсальная газовая постоянная; </w:t>
      </w:r>
      <m:oMath>
        <m:r>
          <w:rPr>
            <w:rFonts w:ascii="Cambria Math" w:hAnsi="Cambria Math"/>
          </w:rPr>
          <m:t>T</m:t>
        </m:r>
      </m:oMath>
      <w:r>
        <w:rPr>
          <w:rFonts w:ascii="Times New Roman" w:hAnsi="Times New Roman"/>
          <w:sz w:val="20"/>
          <w:szCs w:val="20"/>
        </w:rPr>
        <w:t xml:space="preserve"> — абсолютная температура; 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b</m:t>
        </m:r>
      </m:oMath>
      <w:r>
        <w:rPr>
          <w:rFonts w:ascii="Times New Roman" w:hAnsi="Times New Roman"/>
          <w:sz w:val="20"/>
          <w:szCs w:val="20"/>
        </w:rPr>
        <w:t xml:space="preserve"> — постоянные Ван-дер-Ваальса; </w:t>
      </w:r>
      <m:oMath>
        <m:r>
          <w:rPr>
            <w:rFonts w:ascii="Cambria Math" w:hAnsi="Cambria Math"/>
          </w:rPr>
          <m:t>V</m:t>
        </m:r>
      </m:oMath>
      <w:r>
        <w:rPr>
          <w:rFonts w:ascii="Times New Roman" w:hAnsi="Times New Roman"/>
          <w:sz w:val="20"/>
          <w:szCs w:val="20"/>
        </w:rPr>
        <w:t xml:space="preserve"> — объем.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Уравнения модели</w:t>
      </w:r>
      <w:r>
        <w:rPr>
          <w:rFonts w:ascii="Times New Roman" w:hAnsi="Times New Roman"/>
          <w:sz w:val="20"/>
          <w:szCs w:val="20"/>
        </w:rPr>
        <w:t xml:space="preserve"> решаются численно с использованием метода крупных частиц [3]. Выбор данного метода определяется его консервативностью и хорошей устойчивостью при решении задач со слабыми ударными волнами.</w:t>
      </w:r>
      <w:r>
        <w:br w:type="page"/>
      </w:r>
    </w:p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  <w:r w:rsidRPr="00F41932">
        <w:lastRenderedPageBreak/>
        <w:pict>
          <v:rect id="_x0000_s1027" style="position:absolute;left:0;text-align:left;margin-left:0;margin-top:0;width:481.9pt;height:367.85pt;z-index:251657216;mso-wrap-distance-left:0;mso-wrap-distance-right:0;mso-position-horizontal:center;mso-position-vertical:top" stroked="f">
            <v:textbox inset="0,0,0,0">
              <w:txbxContent>
                <w:p w:rsidR="00F41932" w:rsidRDefault="005B714B">
                  <w:pPr>
                    <w:pStyle w:val="a9"/>
                    <w:jc w:val="center"/>
                    <w:rPr>
                      <w:i w:val="0"/>
                      <w:iCs w:val="0"/>
                      <w:sz w:val="20"/>
                      <w:szCs w:val="20"/>
                    </w:rPr>
                  </w:pPr>
                  <w:r>
                    <w:rPr>
                      <w:i w:val="0"/>
                      <w:iCs w:val="0"/>
                      <w:noProof/>
                      <w:sz w:val="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6120130" cy="4448810"/>
                        <wp:effectExtent l="0" t="0" r="0" b="0"/>
                        <wp:docPr id="3" name="Изображение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Изображение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130" cy="4448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 w:val="0"/>
                      <w:iCs w:val="0"/>
                      <w:sz w:val="20"/>
                      <w:szCs w:val="20"/>
                    </w:rPr>
                    <w:t xml:space="preserve">Рис. </w:t>
                  </w:r>
                  <w:r w:rsidR="00F41932">
                    <w:rPr>
                      <w:i w:val="0"/>
                      <w:iCs w:val="0"/>
                      <w:sz w:val="20"/>
                      <w:szCs w:val="20"/>
                    </w:rPr>
                    <w:fldChar w:fldCharType="begin"/>
                  </w:r>
                  <w:r>
                    <w:rPr>
                      <w:i w:val="0"/>
                      <w:iCs w:val="0"/>
                      <w:sz w:val="20"/>
                      <w:szCs w:val="20"/>
                    </w:rPr>
                    <w:instrText xml:space="preserve"> SEQ Рис. \* ARABIC </w:instrText>
                  </w:r>
                  <w:r w:rsidR="00F41932">
                    <w:rPr>
                      <w:i w:val="0"/>
                      <w:iCs w:val="0"/>
                      <w:sz w:val="20"/>
                      <w:szCs w:val="20"/>
                    </w:rPr>
                    <w:fldChar w:fldCharType="separate"/>
                  </w:r>
                  <w:r w:rsidR="00372F8F">
                    <w:rPr>
                      <w:i w:val="0"/>
                      <w:iCs w:val="0"/>
                      <w:noProof/>
                      <w:sz w:val="20"/>
                      <w:szCs w:val="20"/>
                    </w:rPr>
                    <w:t>1</w:t>
                  </w:r>
                  <w:r w:rsidR="00F41932">
                    <w:rPr>
                      <w:i w:val="0"/>
                      <w:iCs w:val="0"/>
                      <w:sz w:val="20"/>
                      <w:szCs w:val="20"/>
                    </w:rPr>
                    <w:fldChar w:fldCharType="end"/>
                  </w:r>
                  <w:r>
                    <w:rPr>
                      <w:i w:val="0"/>
                      <w:iCs w:val="0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i w:val="0"/>
                      <w:iCs w:val="0"/>
                      <w:sz w:val="20"/>
                      <w:szCs w:val="20"/>
                    </w:rPr>
                    <w:t>Отображение линий тока в моме</w:t>
                  </w:r>
                  <w:r>
                    <w:rPr>
                      <w:rFonts w:ascii="Times New Roman" w:hAnsi="Times New Roman"/>
                      <w:i w:val="0"/>
                      <w:iCs w:val="0"/>
                      <w:sz w:val="20"/>
                      <w:szCs w:val="20"/>
                    </w:rPr>
                    <w:t xml:space="preserve">нты времени: А)  </w:t>
                  </w:r>
                  <m:oMath>
                    <m:r>
                      <w:rPr>
                        <w:rFonts w:ascii="Cambria Math" w:hAnsi="Cambria Math"/>
                      </w:rPr>
                      <m:t>t</m:t>
                    </m:r>
                  </m:oMath>
                  <w:r>
                    <w:rPr>
                      <w:rFonts w:ascii="Times New Roman" w:hAnsi="Times New Roman"/>
                      <w:i w:val="0"/>
                      <w:iCs w:val="0"/>
                      <w:sz w:val="20"/>
                      <w:szCs w:val="20"/>
                    </w:rPr>
                    <w:t xml:space="preserve"> с; B) </w:t>
                  </w:r>
                  <m:oMath>
                    <m: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t</m:t>
                    </m:r>
                  </m:oMath>
                  <w:r>
                    <w:rPr>
                      <w:rFonts w:ascii="Times New Roman" w:hAnsi="Times New Roman"/>
                      <w:i w:val="0"/>
                      <w:iCs w:val="0"/>
                      <w:sz w:val="20"/>
                      <w:szCs w:val="20"/>
                    </w:rPr>
                    <w:t xml:space="preserve"> с; C) </w:t>
                  </w:r>
                  <m:oMath>
                    <m: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t</m:t>
                    </m:r>
                  </m:oMath>
                  <w:r>
                    <w:rPr>
                      <w:rFonts w:ascii="Times New Roman" w:hAnsi="Times New Roman"/>
                      <w:i w:val="0"/>
                      <w:iCs w:val="0"/>
                      <w:sz w:val="20"/>
                      <w:szCs w:val="20"/>
                    </w:rPr>
                    <w:t xml:space="preserve"> с; D) </w:t>
                  </w:r>
                  <m:oMath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t</m:t>
                    </m:r>
                  </m:oMath>
                  <w:r>
                    <w:rPr>
                      <w:rFonts w:ascii="Times New Roman" w:hAnsi="Times New Roman"/>
                      <w:i w:val="0"/>
                      <w:iCs w:val="0"/>
                      <w:sz w:val="20"/>
                      <w:szCs w:val="20"/>
                    </w:rPr>
                    <w:t xml:space="preserve"> с от начала движения</w:t>
                  </w:r>
                </w:p>
              </w:txbxContent>
            </v:textbox>
            <w10:wrap type="square" side="largest"/>
          </v:rect>
        </w:pic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Для решения уравнений системы (1)–(2) запишем соответствующие начальные и граничные условия, исходя из следующих предположений:  условие прилипания на твердой стенке; задана </w:t>
      </w:r>
      <w:r>
        <w:rPr>
          <w:rFonts w:ascii="Times New Roman" w:hAnsi="Times New Roman"/>
          <w:sz w:val="20"/>
          <w:szCs w:val="20"/>
        </w:rPr>
        <w:t>постоянная скорость на входе области; условие протекания на выходе; скорость жидкости в начальный момент времени равна нулю; давление линейно уменьшается вдоль канала.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Результаты расчетов были получены при следующих физических параметрах системы: начальная плотность жидкости </w:t>
      </w:r>
      <m:oMath>
        <m:r>
          <w:rPr>
            <w:rFonts w:ascii="Cambria Math" w:hAnsi="Cambria Math"/>
          </w:rPr>
          <m:t>ρ</m:t>
        </m:r>
        <m:r>
          <w:rPr>
            <w:rFonts w:ascii="Cambria Math" w:hAnsi="Cambria Math"/>
          </w:rPr>
          <m:t>=1000</m:t>
        </m:r>
      </m:oMath>
      <w:r>
        <w:rPr>
          <w:rFonts w:ascii="Times New Roman" w:hAnsi="Times New Roman"/>
          <w:sz w:val="20"/>
          <w:szCs w:val="20"/>
        </w:rPr>
        <w:t>$ кг/м</w:t>
      </w: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; вязкость </w:t>
      </w:r>
      <m:oMath>
        <m:r>
          <w:rPr>
            <w:rFonts w:ascii="Cambria Math" w:hAnsi="Cambria Math"/>
          </w:rPr>
          <m:t>μ</m:t>
        </m:r>
        <m:r>
          <w:rPr>
            <w:rFonts w:ascii="Cambria Math" w:hAnsi="Cambria Math"/>
          </w:rPr>
          <m:t>=0,01</m:t>
        </m:r>
      </m:oMath>
      <w:r>
        <w:rPr>
          <w:rFonts w:ascii="Times New Roman" w:hAnsi="Times New Roman"/>
          <w:sz w:val="20"/>
          <w:szCs w:val="20"/>
        </w:rPr>
        <w:t xml:space="preserve">$ Па·С; размеры моделируемой области </w:t>
      </w:r>
      <m:oMath>
        <m:r>
          <w:rPr>
            <w:rFonts w:ascii="Cambria Math" w:hAnsi="Cambria Math"/>
          </w:rPr>
          <m:t>1×1,4</m:t>
        </m:r>
      </m:oMath>
      <w:r>
        <w:rPr>
          <w:rFonts w:ascii="Times New Roman" w:hAnsi="Times New Roman"/>
          <w:sz w:val="20"/>
          <w:szCs w:val="20"/>
        </w:rPr>
        <w:t xml:space="preserve"> м; значение числа Рейнольса </w:t>
      </w:r>
      <m:oMath>
        <w:proofErr w:type="spellStart"/>
        <m:r>
          <m:rPr>
            <m:lit/>
            <m:nor/>
          </m:rPr>
          <w:rPr>
            <w:rFonts w:ascii="Cambria Math" w:hAnsi="Cambria Math"/>
          </w:rPr>
          <m:t>Re</m:t>
        </m:r>
        <w:proofErr w:type="spellEnd"/>
        <m:r>
          <w:rPr>
            <w:rFonts w:ascii="Cambria Math" w:hAnsi="Cambria Math"/>
          </w:rPr>
          <m:t>=2500</m:t>
        </m:r>
      </m:oMath>
      <w:r>
        <w:rPr>
          <w:rFonts w:ascii="Times New Roman" w:hAnsi="Times New Roman"/>
          <w:sz w:val="20"/>
          <w:szCs w:val="20"/>
        </w:rPr>
        <w:t>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 рис. 1 показаны линии тока, отоб</w:t>
      </w:r>
      <w:r>
        <w:rPr>
          <w:rFonts w:ascii="Times New Roman" w:hAnsi="Times New Roman"/>
          <w:sz w:val="20"/>
          <w:szCs w:val="20"/>
        </w:rPr>
        <w:t xml:space="preserve">ражающие движение жидкости при обтекании бесконечного цилиндра. На рисунке показаны результаты через равные промежутки времени. Так, на рис. 1 (A) показана картина течения через </w:t>
      </w:r>
      <m:oMath>
        <m:r>
          <w:rPr>
            <w:rFonts w:ascii="Cambria Math" w:hAnsi="Cambria Math"/>
          </w:rPr>
          <m:t>t</m:t>
        </m:r>
      </m:oMath>
      <w:r>
        <w:rPr>
          <w:rFonts w:ascii="Times New Roman" w:hAnsi="Times New Roman"/>
          <w:sz w:val="20"/>
          <w:szCs w:val="20"/>
        </w:rPr>
        <w:t xml:space="preserve"> с от начала расчёта (начала движения жидкости), на рис. 1 (B) — </w:t>
      </w:r>
      <m:oMath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t</m:t>
        </m:r>
      </m:oMath>
      <w:r>
        <w:rPr>
          <w:rFonts w:ascii="Times New Roman" w:hAnsi="Times New Roman"/>
          <w:sz w:val="20"/>
          <w:szCs w:val="20"/>
        </w:rPr>
        <w:t xml:space="preserve"> с и так</w:t>
      </w:r>
      <w:r>
        <w:rPr>
          <w:rFonts w:ascii="Times New Roman" w:hAnsi="Times New Roman"/>
          <w:sz w:val="20"/>
          <w:szCs w:val="20"/>
        </w:rPr>
        <w:t xml:space="preserve"> далее. Так как число </w:t>
      </w:r>
      <w:proofErr w:type="spellStart"/>
      <w:r>
        <w:rPr>
          <w:rFonts w:ascii="Times New Roman" w:hAnsi="Times New Roman"/>
          <w:sz w:val="20"/>
          <w:szCs w:val="20"/>
        </w:rPr>
        <w:t>Рейнольдса</w:t>
      </w:r>
      <w:proofErr w:type="spellEnd"/>
      <w:r>
        <w:rPr>
          <w:rFonts w:ascii="Times New Roman" w:hAnsi="Times New Roman"/>
          <w:sz w:val="20"/>
          <w:szCs w:val="20"/>
        </w:rPr>
        <w:t>, выбранное для представленного исследования соответствует переходному режиму течения, в численном эксперименте наблюдается образование крупномасштабных вихревых структур (дорожка Кармана) за препятствием.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Рассмотрим процес</w:t>
      </w:r>
      <w:r>
        <w:rPr>
          <w:rFonts w:ascii="Times New Roman" w:hAnsi="Times New Roman"/>
          <w:sz w:val="20"/>
          <w:szCs w:val="20"/>
        </w:rPr>
        <w:t>с возникновения периодического возмущения. Изначально, при встрече ламинарного потока с препятствием, происходит разделение потока жидкости на два, огибающих препятствие сверху и снизу. За телом можно наблюдать соединение двух потоков в один с дальнейшим л</w:t>
      </w:r>
      <w:r>
        <w:rPr>
          <w:rFonts w:ascii="Times New Roman" w:hAnsi="Times New Roman"/>
          <w:sz w:val="20"/>
          <w:szCs w:val="20"/>
        </w:rPr>
        <w:t xml:space="preserve">аминарным течением, как и до препятствия.  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Однако, с развитием потока и ускорением жидкости, в канале начинают преобладать кинематические свойства жидкости, поток постепенно теряет свойства, присущие ламинарному потоку. Вследствие чего возникают и увелич</w:t>
      </w:r>
      <w:r>
        <w:rPr>
          <w:rFonts w:ascii="Times New Roman" w:hAnsi="Times New Roman"/>
          <w:sz w:val="20"/>
          <w:szCs w:val="20"/>
        </w:rPr>
        <w:t xml:space="preserve">иваются в размере хаотические перемещения отдельных объемов жидкости за телом. На рис. 1 (B), в момент </w:t>
      </w:r>
      <m:oMath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t</m:t>
        </m:r>
      </m:oMath>
      <w:r>
        <w:rPr>
          <w:rFonts w:ascii="Times New Roman" w:hAnsi="Times New Roman"/>
          <w:sz w:val="20"/>
          <w:szCs w:val="20"/>
        </w:rPr>
        <w:t xml:space="preserve"> при разделении потока на два и последующем схождении при обтекании цилиндра, поток остается ламинарным, однако можно видеть, что сам характер потока </w:t>
      </w:r>
      <w:r>
        <w:rPr>
          <w:rFonts w:ascii="Times New Roman" w:hAnsi="Times New Roman"/>
          <w:sz w:val="20"/>
          <w:szCs w:val="20"/>
        </w:rPr>
        <w:t xml:space="preserve">изменился, линии тока образуют более широкий радиус, а уплотнение слоев жидкости происходит достаточно далеко за телом. </w:t>
      </w:r>
    </w:p>
    <w:p w:rsidR="00F41932" w:rsidRPr="00372F8F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 xml:space="preserve">Рис. 1 (C) (момент </w:t>
      </w:r>
      <m:oMath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t</m:t>
        </m:r>
      </m:oMath>
      <w:r>
        <w:rPr>
          <w:rFonts w:ascii="Times New Roman" w:hAnsi="Times New Roman"/>
          <w:sz w:val="20"/>
          <w:szCs w:val="20"/>
        </w:rPr>
        <w:t xml:space="preserve">) уже наглядным образом демонстрирует смену режима течения жидкости на турбулентный. Хорошо видно, как за телом </w:t>
      </w:r>
      <w:r>
        <w:rPr>
          <w:rFonts w:ascii="Times New Roman" w:hAnsi="Times New Roman"/>
          <w:sz w:val="20"/>
          <w:szCs w:val="20"/>
        </w:rPr>
        <w:t>образуется волновое движение жидкости. С дальнейшим течением времени процесс приобретает почти периодический характер, что демонстрирует рис. 1 (D).</w:t>
      </w:r>
      <w:r>
        <w:br w:type="page"/>
      </w:r>
    </w:p>
    <w:p w:rsidR="00F41932" w:rsidRDefault="00372F8F" w:rsidP="00372F8F">
      <w:pPr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pict>
          <v:rect id="_x0000_s1026" style="width:421.6pt;height:326.4pt;mso-wrap-distance-left:0;mso-wrap-distance-right:0;mso-position-horizontal-relative:char;mso-position-vertical-relative:line" stroked="f">
            <v:textbox inset="0,0,0,0">
              <w:txbxContent>
                <w:p w:rsidR="00F41932" w:rsidRDefault="005B714B" w:rsidP="00372F8F">
                  <w:pPr>
                    <w:pStyle w:val="a9"/>
                    <w:jc w:val="center"/>
                    <w:rPr>
                      <w:i w:val="0"/>
                      <w:iCs w:val="0"/>
                      <w:sz w:val="20"/>
                      <w:szCs w:val="20"/>
                    </w:rPr>
                  </w:pPr>
                  <w:r>
                    <w:rPr>
                      <w:i w:val="0"/>
                      <w:iCs w:val="0"/>
                      <w:noProof/>
                      <w:sz w:val="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5354320" cy="3769995"/>
                        <wp:effectExtent l="19050" t="0" r="0" b="0"/>
                        <wp:docPr id="6" name="Изображение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Изображение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320" cy="376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 w:val="0"/>
                      <w:iCs w:val="0"/>
                      <w:sz w:val="20"/>
                      <w:szCs w:val="20"/>
                    </w:rPr>
                    <w:t xml:space="preserve">Рис. </w:t>
                  </w:r>
                  <w:r w:rsidR="00F41932">
                    <w:rPr>
                      <w:i w:val="0"/>
                      <w:iCs w:val="0"/>
                      <w:sz w:val="20"/>
                      <w:szCs w:val="20"/>
                    </w:rPr>
                    <w:fldChar w:fldCharType="begin"/>
                  </w:r>
                  <w:r>
                    <w:rPr>
                      <w:i w:val="0"/>
                      <w:iCs w:val="0"/>
                      <w:sz w:val="20"/>
                      <w:szCs w:val="20"/>
                    </w:rPr>
                    <w:instrText xml:space="preserve"> SEQ Рис. \* ARABIC </w:instrText>
                  </w:r>
                  <w:r w:rsidR="00F41932">
                    <w:rPr>
                      <w:i w:val="0"/>
                      <w:iCs w:val="0"/>
                      <w:sz w:val="20"/>
                      <w:szCs w:val="20"/>
                    </w:rPr>
                    <w:fldChar w:fldCharType="separate"/>
                  </w:r>
                  <w:r w:rsidR="00372F8F">
                    <w:rPr>
                      <w:i w:val="0"/>
                      <w:iCs w:val="0"/>
                      <w:noProof/>
                      <w:sz w:val="20"/>
                      <w:szCs w:val="20"/>
                    </w:rPr>
                    <w:t>2</w:t>
                  </w:r>
                  <w:r w:rsidR="00F41932">
                    <w:rPr>
                      <w:i w:val="0"/>
                      <w:iCs w:val="0"/>
                      <w:sz w:val="20"/>
                      <w:szCs w:val="20"/>
                    </w:rPr>
                    <w:fldChar w:fldCharType="end"/>
                  </w:r>
                  <w:r>
                    <w:rPr>
                      <w:i w:val="0"/>
                      <w:iCs w:val="0"/>
                      <w:sz w:val="20"/>
                      <w:szCs w:val="20"/>
                    </w:rPr>
                    <w:t>. Направления и скорости потоков жидкости после обтекания тела; длина век</w:t>
                  </w:r>
                  <w:r>
                    <w:rPr>
                      <w:i w:val="0"/>
                      <w:iCs w:val="0"/>
                      <w:sz w:val="20"/>
                      <w:szCs w:val="20"/>
                    </w:rPr>
                    <w:t>тора характеризует модуль скорости потока жидкости в данной точке (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d>
                  </m:oMath>
                  <w:r>
                    <w:rPr>
                      <w:i w:val="0"/>
                      <w:iCs w:val="0"/>
                      <w:sz w:val="20"/>
                      <w:szCs w:val="20"/>
                    </w:rPr>
                    <w:t>, м/с)</w:t>
                  </w:r>
                </w:p>
              </w:txbxContent>
            </v:textbox>
            <w10:wrap type="none" side="largest"/>
            <w10:anchorlock/>
          </v:rect>
        </w:pict>
      </w:r>
    </w:p>
    <w:p w:rsidR="00372F8F" w:rsidRPr="00372F8F" w:rsidRDefault="00372F8F" w:rsidP="00372F8F">
      <w:pPr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На рис. 2 показано поле скоростей в момент времени </w:t>
      </w:r>
      <m:oMath>
        <m:r>
          <w:rPr>
            <w:rFonts w:ascii="Cambria Math" w:hAnsi="Cambria Math"/>
          </w:rPr>
          <m:t>4</m:t>
        </m:r>
        <m:r>
          <w:rPr>
            <w:rFonts w:ascii="Cambria Math" w:hAnsi="Cambria Math"/>
          </w:rPr>
          <m:t>t</m:t>
        </m:r>
      </m:oMath>
      <w:r>
        <w:rPr>
          <w:rFonts w:ascii="Times New Roman" w:hAnsi="Times New Roman"/>
          <w:sz w:val="20"/>
          <w:szCs w:val="20"/>
        </w:rPr>
        <w:t>. Здесь хорошо видно, что регулярная до препятствия картина течения резко сменяется периодическими возмущениями, которые пос</w:t>
      </w:r>
      <w:proofErr w:type="spellStart"/>
      <w:r>
        <w:rPr>
          <w:rFonts w:ascii="Times New Roman" w:hAnsi="Times New Roman"/>
          <w:sz w:val="20"/>
          <w:szCs w:val="20"/>
        </w:rPr>
        <w:t>тепенно</w:t>
      </w:r>
      <w:proofErr w:type="spellEnd"/>
      <w:r>
        <w:rPr>
          <w:rFonts w:ascii="Times New Roman" w:hAnsi="Times New Roman"/>
          <w:sz w:val="20"/>
          <w:szCs w:val="20"/>
        </w:rPr>
        <w:t xml:space="preserve"> образуют структуру, схожую с дорожкой Кармана.</w:t>
      </w:r>
    </w:p>
    <w:p w:rsidR="00F41932" w:rsidRDefault="005B714B" w:rsidP="00372F8F"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Таким образом, можно сделать вывод, что метод крупных частиц позволяет выполнять прямое моделирование турбулентности при достаточном количестве узлов расчетной сетки.</w:t>
      </w:r>
    </w:p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</w:p>
    <w:p w:rsidR="00F41932" w:rsidRDefault="005B714B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литературы</w:t>
      </w:r>
    </w:p>
    <w:p w:rsidR="00F41932" w:rsidRDefault="00F41932">
      <w:pPr>
        <w:jc w:val="both"/>
        <w:rPr>
          <w:rFonts w:ascii="Times New Roman" w:hAnsi="Times New Roman"/>
          <w:sz w:val="20"/>
          <w:szCs w:val="20"/>
        </w:rPr>
      </w:pPr>
    </w:p>
    <w:p w:rsidR="00F41932" w:rsidRDefault="005B714B">
      <w:pPr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Савельев И.В.</w:t>
      </w:r>
      <w:r>
        <w:rPr>
          <w:rFonts w:ascii="Times New Roman" w:hAnsi="Times New Roman"/>
          <w:sz w:val="20"/>
          <w:szCs w:val="20"/>
        </w:rPr>
        <w:t xml:space="preserve"> Курс общей физики, том I. Механика, колебания и волны, молекулярная физика. М.: Лань, 2011.  С. 448.</w:t>
      </w:r>
    </w:p>
    <w:p w:rsidR="00F41932" w:rsidRDefault="005B714B">
      <w:pPr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Нигматулин</w:t>
      </w:r>
      <w:proofErr w:type="spellEnd"/>
      <w:r>
        <w:rPr>
          <w:rFonts w:ascii="Times New Roman" w:hAnsi="Times New Roman"/>
          <w:sz w:val="20"/>
          <w:szCs w:val="20"/>
        </w:rPr>
        <w:t xml:space="preserve"> Р.И. Динамика многофазных сред. Ч. I. М.: Наука, 1987. С. 464.</w:t>
      </w:r>
    </w:p>
    <w:p w:rsidR="00F41932" w:rsidRDefault="005B714B">
      <w:pPr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Белоцерковский О.М., Давыдов Ю.М. Метод крупных частиц в газовой динамике. М.: Н</w:t>
      </w:r>
      <w:r>
        <w:rPr>
          <w:rFonts w:ascii="Times New Roman" w:hAnsi="Times New Roman"/>
          <w:sz w:val="20"/>
          <w:szCs w:val="20"/>
        </w:rPr>
        <w:t>аука, 1982.</w:t>
      </w:r>
    </w:p>
    <w:p w:rsidR="00F41932" w:rsidRDefault="005B714B">
      <w:pPr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Кедринский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В.К. Гидродинамика взрыва: эксперимент и модели : СО РАН, 2000. </w:t>
      </w:r>
    </w:p>
    <w:sectPr w:rsidR="00F41932" w:rsidSect="00F41932">
      <w:pgSz w:w="11906" w:h="16838"/>
      <w:pgMar w:top="1701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erif CJK SC">
    <w:charset w:val="01"/>
    <w:family w:val="auto"/>
    <w:pitch w:val="variable"/>
    <w:sig w:usb0="00000000" w:usb1="00000000" w:usb2="00000000" w:usb3="00000000" w:csb0="00000000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435CF"/>
    <w:multiLevelType w:val="multilevel"/>
    <w:tmpl w:val="EEDACD16"/>
    <w:lvl w:ilvl="0">
      <w:start w:val="1"/>
      <w:numFmt w:val="decimal"/>
      <w:lvlText w:val="[%1] 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56E2C89"/>
    <w:multiLevelType w:val="multilevel"/>
    <w:tmpl w:val="8EC22050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autoHyphenation/>
  <w:characterSpacingControl w:val="doNotCompress"/>
  <w:compat/>
  <w:rsids>
    <w:rsidRoot w:val="00F41932"/>
    <w:rsid w:val="00372F8F"/>
    <w:rsid w:val="005B714B"/>
    <w:rsid w:val="00F41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erif CJK SC" w:hAnsi="Liberation Serif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F41932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4">
    <w:name w:val="Body Text"/>
    <w:basedOn w:val="a"/>
    <w:rsid w:val="00F41932"/>
    <w:pPr>
      <w:spacing w:after="140" w:line="276" w:lineRule="auto"/>
    </w:pPr>
  </w:style>
  <w:style w:type="paragraph" w:styleId="a5">
    <w:name w:val="List"/>
    <w:basedOn w:val="a4"/>
    <w:rsid w:val="00F41932"/>
  </w:style>
  <w:style w:type="paragraph" w:customStyle="1" w:styleId="Caption">
    <w:name w:val="Caption"/>
    <w:basedOn w:val="a"/>
    <w:qFormat/>
    <w:rsid w:val="00F41932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F41932"/>
    <w:pPr>
      <w:suppressLineNumbers/>
    </w:pPr>
  </w:style>
  <w:style w:type="paragraph" w:customStyle="1" w:styleId="a7">
    <w:name w:val="Содержимое таблицы"/>
    <w:qFormat/>
    <w:rsid w:val="00F41932"/>
  </w:style>
  <w:style w:type="paragraph" w:customStyle="1" w:styleId="a8">
    <w:name w:val="Рисунок"/>
    <w:basedOn w:val="Caption"/>
    <w:qFormat/>
    <w:rsid w:val="00F41932"/>
  </w:style>
  <w:style w:type="paragraph" w:customStyle="1" w:styleId="a9">
    <w:name w:val="Рис."/>
    <w:basedOn w:val="Caption"/>
    <w:qFormat/>
    <w:rsid w:val="00F41932"/>
  </w:style>
  <w:style w:type="paragraph" w:customStyle="1" w:styleId="aa">
    <w:name w:val="Содержимое врезки"/>
    <w:basedOn w:val="a"/>
    <w:qFormat/>
    <w:rsid w:val="00F41932"/>
  </w:style>
  <w:style w:type="paragraph" w:styleId="ab">
    <w:name w:val="Balloon Text"/>
    <w:basedOn w:val="a"/>
    <w:link w:val="ac"/>
    <w:uiPriority w:val="99"/>
    <w:semiHidden/>
    <w:unhideWhenUsed/>
    <w:rsid w:val="00372F8F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372F8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895</Words>
  <Characters>5106</Characters>
  <Application>Microsoft Office Word</Application>
  <DocSecurity>0</DocSecurity>
  <Lines>42</Lines>
  <Paragraphs>11</Paragraphs>
  <ScaleCrop>false</ScaleCrop>
  <Company/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Mikhaylenko</dc:creator>
  <dc:description/>
  <cp:lastModifiedBy>Elvira</cp:lastModifiedBy>
  <cp:revision>3</cp:revision>
  <dcterms:created xsi:type="dcterms:W3CDTF">2024-03-22T10:31:00Z</dcterms:created>
  <dcterms:modified xsi:type="dcterms:W3CDTF">2024-03-22T07:24:00Z</dcterms:modified>
  <dc:language>ru-RU</dc:language>
</cp:coreProperties>
</file>